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6E6E" w14:textId="72ED63D5" w:rsidR="0071646C" w:rsidRPr="0071646C" w:rsidRDefault="0071646C" w:rsidP="0071646C">
      <w:pPr>
        <w:rPr>
          <w:rFonts w:ascii="仿宋" w:eastAsia="仿宋" w:hAnsi="仿宋"/>
          <w:sz w:val="28"/>
          <w:szCs w:val="28"/>
          <w14:ligatures w14:val="standardContextual"/>
        </w:rPr>
      </w:pPr>
      <w:r w:rsidRPr="0071646C">
        <w:rPr>
          <w:rFonts w:ascii="仿宋" w:eastAsia="仿宋" w:hAnsi="仿宋" w:hint="eastAsia"/>
          <w:sz w:val="28"/>
          <w:szCs w:val="28"/>
          <w14:ligatures w14:val="standardContextual"/>
        </w:rPr>
        <w:t>成果名称：</w:t>
      </w:r>
      <w:r w:rsidR="005D1017" w:rsidRPr="005D1017">
        <w:rPr>
          <w:rFonts w:ascii="仿宋" w:eastAsia="仿宋" w:hAnsi="仿宋" w:hint="eastAsia"/>
          <w:sz w:val="28"/>
          <w:szCs w:val="28"/>
          <w14:ligatures w14:val="standardContextual"/>
        </w:rPr>
        <w:t>水润环育：面向生态文明建设的“四位一体”育人体系探索与实践</w:t>
      </w:r>
    </w:p>
    <w:p w14:paraId="398B7A2F" w14:textId="3F58C498" w:rsidR="00882A69" w:rsidRDefault="0071646C" w:rsidP="0071646C">
      <w:pPr>
        <w:rPr>
          <w:rFonts w:ascii="仿宋" w:eastAsia="仿宋" w:hAnsi="仿宋"/>
          <w:sz w:val="28"/>
          <w:szCs w:val="28"/>
          <w14:ligatures w14:val="standardContextual"/>
        </w:rPr>
      </w:pPr>
      <w:r w:rsidRPr="0071646C">
        <w:rPr>
          <w:rFonts w:ascii="仿宋" w:eastAsia="仿宋" w:hAnsi="仿宋" w:hint="eastAsia"/>
          <w:sz w:val="28"/>
          <w:szCs w:val="28"/>
          <w14:ligatures w14:val="standardContextual"/>
        </w:rPr>
        <w:t>完成人：</w:t>
      </w:r>
      <w:r w:rsidR="005D1017" w:rsidRPr="005D1017">
        <w:rPr>
          <w:rFonts w:ascii="仿宋" w:eastAsia="仿宋" w:hAnsi="仿宋" w:hint="eastAsia"/>
          <w:sz w:val="28"/>
          <w:szCs w:val="28"/>
          <w14:ligatures w14:val="standardContextual"/>
        </w:rPr>
        <w:t>郭华明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彭国华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田 萌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边潇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万胜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史浙明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胡远安</w:t>
      </w:r>
      <w:r w:rsidR="005D1017">
        <w:rPr>
          <w:rFonts w:ascii="仿宋" w:eastAsia="仿宋" w:hAnsi="仿宋" w:hint="eastAsia"/>
          <w:sz w:val="28"/>
          <w:szCs w:val="28"/>
          <w14:ligatures w14:val="standardContextual"/>
        </w:rPr>
        <w:t>、</w:t>
      </w:r>
      <w:r w:rsidR="005D1017" w:rsidRPr="005D1017">
        <w:rPr>
          <w:rFonts w:ascii="仿宋" w:eastAsia="仿宋" w:hAnsi="仿宋"/>
          <w:sz w:val="28"/>
          <w:szCs w:val="28"/>
          <w14:ligatures w14:val="standardContextual"/>
        </w:rPr>
        <w:t>韩鹏飞</w:t>
      </w:r>
    </w:p>
    <w:p w14:paraId="6D2F5CBB" w14:textId="10775037" w:rsidR="00655926" w:rsidRDefault="00655926" w:rsidP="0071646C">
      <w:pPr>
        <w:rPr>
          <w:rFonts w:ascii="仿宋" w:eastAsia="仿宋" w:hAnsi="仿宋"/>
          <w:sz w:val="28"/>
          <w:szCs w:val="28"/>
          <w14:ligatures w14:val="standardContextual"/>
        </w:rPr>
      </w:pPr>
      <w:r>
        <w:rPr>
          <w:rFonts w:ascii="仿宋" w:eastAsia="仿宋" w:hAnsi="仿宋" w:hint="eastAsia"/>
          <w:sz w:val="28"/>
          <w:szCs w:val="28"/>
          <w14:ligatures w14:val="standardContextual"/>
        </w:rPr>
        <w:t>成果简介：</w:t>
      </w:r>
    </w:p>
    <w:p w14:paraId="0F9F9F62" w14:textId="77777777" w:rsidR="005D1017" w:rsidRPr="005D1017" w:rsidRDefault="005D1017" w:rsidP="005D1017">
      <w:pPr>
        <w:widowControl/>
        <w:spacing w:line="360" w:lineRule="auto"/>
        <w:ind w:firstLineChars="200" w:firstLine="48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5D1017">
        <w:rPr>
          <w:rFonts w:ascii="Times New Roman" w:eastAsia="仿宋" w:hAnsi="Times New Roman" w:cs="Times New Roman" w:hint="eastAsia"/>
          <w:kern w:val="0"/>
          <w:sz w:val="24"/>
          <w:szCs w:val="24"/>
        </w:rPr>
        <w:t>“绿水青山就是金山银山”是习近平生态文明思想的原创性论断，为新时代工程教育与人才培养提供了根本遵循。中国地质大学（北京）水资源与环境学院紧扣生态文明建设和双碳战略需求，依托双一流建设学科优势，自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2014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年起开展水文与地下水领域卓越人才培养综合改革。</w:t>
      </w:r>
    </w:p>
    <w:p w14:paraId="79B22B78" w14:textId="77777777" w:rsidR="005D1017" w:rsidRPr="005D1017" w:rsidRDefault="005D1017" w:rsidP="005D1017">
      <w:pPr>
        <w:widowControl/>
        <w:spacing w:line="360" w:lineRule="auto"/>
        <w:ind w:firstLineChars="200" w:firstLine="48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5D1017">
        <w:rPr>
          <w:rFonts w:ascii="Times New Roman" w:eastAsia="仿宋" w:hAnsi="Times New Roman" w:cs="Times New Roman" w:hint="eastAsia"/>
          <w:kern w:val="0"/>
          <w:sz w:val="24"/>
          <w:szCs w:val="24"/>
        </w:rPr>
        <w:t>本成果针对传统工科思政教育普遍存在的“融入难、协同弱、渗透浅、循环滞”等痛点，聚焦水文与水资源工程、地下水科学与工程等学科方向，深入挖掘中华传统文化中“上善若水”的哲学意蕴，打造“水润环育”思政育人品牌（喻指以水之德涵养情怀，以环之基砥砺才干）。创新构建“课程思政引领、实践场域转化、科研项目驱动、文化精神传承”四位一体育人体系。</w:t>
      </w:r>
    </w:p>
    <w:p w14:paraId="398AFEDB" w14:textId="245FE855" w:rsidR="005D1017" w:rsidRPr="005D1017" w:rsidRDefault="005D1017" w:rsidP="005D1017">
      <w:pPr>
        <w:widowControl/>
        <w:spacing w:line="360" w:lineRule="auto"/>
        <w:ind w:firstLineChars="200" w:firstLine="48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5D1017">
        <w:rPr>
          <w:rFonts w:ascii="Times New Roman" w:eastAsia="仿宋" w:hAnsi="Times New Roman" w:cs="Times New Roman" w:hint="eastAsia"/>
          <w:kern w:val="0"/>
          <w:sz w:val="24"/>
          <w:szCs w:val="24"/>
        </w:rPr>
        <w:t>课程思政引领方面，将生态文明理念有机融入专业知识体系，构建“价值塑造—能力培养—知识传授”的教学范式，系统建设《水资源评价与开发利用》等思政示范课程。实践场域转化方面，将柳江盆地等野外基地升级为集“野外认知、工程一线、社会服务”于一体的三阶实践场域，引导学生在解决缺水防治、水环境治理等国家重大课题中，实现专业知识向使命担当的定向转化。科研项目驱动方面，推行“导师课题组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+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思政责任田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”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制度，将国家级科研任务转化为育人资源，在本硕博全链条贯通培养中强化家国情怀。文化精神传承方面，依托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“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世界水日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”“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中国水周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”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等重要</w:t>
      </w:r>
      <w:r w:rsidRPr="005D1017">
        <w:rPr>
          <w:rFonts w:ascii="Times New Roman" w:eastAsia="仿宋" w:hAnsi="Times New Roman" w:cs="Times New Roman" w:hint="eastAsia"/>
          <w:kern w:val="0"/>
          <w:sz w:val="24"/>
          <w:szCs w:val="24"/>
        </w:rPr>
        <w:t>节点，深度挖掘弘扬地质文化，打造可感知、可体验的文化浸润路径。</w:t>
      </w:r>
    </w:p>
    <w:p w14:paraId="398AFEDB" w14:textId="245FE855" w:rsidR="005D1017" w:rsidRPr="005D1017" w:rsidRDefault="005D1017" w:rsidP="005D1017">
      <w:pPr>
        <w:widowControl/>
        <w:spacing w:line="360" w:lineRule="auto"/>
        <w:ind w:firstLineChars="200" w:firstLine="48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5D1017">
        <w:rPr>
          <w:rFonts w:ascii="Times New Roman" w:eastAsia="仿宋" w:hAnsi="Times New Roman" w:cs="Times New Roman" w:hint="eastAsia"/>
          <w:kern w:val="0"/>
          <w:sz w:val="24"/>
          <w:szCs w:val="24"/>
        </w:rPr>
        <w:t>成果在学院全部专业全面实践覆盖，辐射学科专业学生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5400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余人。落地以来，学生在专业课程成绩、科研项目参与度上均同比提升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43%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以上，毕业深造率超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65%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，累计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31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名本科生赴西部基层就业，为我国培养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1500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t>余名投身生态文明建设的卓越工程技术人才，成果创建经验受邀在全国水利类思政论坛等场合作汇</w:t>
      </w:r>
      <w:r w:rsidRPr="005D1017">
        <w:rPr>
          <w:rFonts w:ascii="Times New Roman" w:eastAsia="仿宋" w:hAnsi="Times New Roman" w:cs="Times New Roman"/>
          <w:kern w:val="0"/>
          <w:sz w:val="24"/>
          <w:szCs w:val="24"/>
        </w:rPr>
        <w:lastRenderedPageBreak/>
        <w:t>报分享，受新华网等央媒报道，相关经验被吉林大学等院校广泛借鉴，具有引领与示范作用。</w:t>
      </w:r>
    </w:p>
    <w:p w14:paraId="4C4D0A72" w14:textId="77777777" w:rsidR="00D35D48" w:rsidRPr="00D35D48" w:rsidRDefault="00D35D48" w:rsidP="0071646C">
      <w:pPr>
        <w:rPr>
          <w:rFonts w:ascii="仿宋" w:eastAsia="仿宋" w:hAnsi="仿宋"/>
          <w:sz w:val="28"/>
          <w:szCs w:val="28"/>
          <w14:ligatures w14:val="standardContextual"/>
        </w:rPr>
      </w:pPr>
    </w:p>
    <w:sectPr w:rsidR="00D35D48" w:rsidRPr="00D3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0D7C" w14:textId="77777777" w:rsidR="00733283" w:rsidRDefault="00733283" w:rsidP="0071646C">
      <w:r>
        <w:separator/>
      </w:r>
    </w:p>
  </w:endnote>
  <w:endnote w:type="continuationSeparator" w:id="0">
    <w:p w14:paraId="0F5E5B52" w14:textId="77777777" w:rsidR="00733283" w:rsidRDefault="00733283" w:rsidP="0071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B913" w14:textId="77777777" w:rsidR="00733283" w:rsidRDefault="00733283" w:rsidP="0071646C">
      <w:r>
        <w:separator/>
      </w:r>
    </w:p>
  </w:footnote>
  <w:footnote w:type="continuationSeparator" w:id="0">
    <w:p w14:paraId="174A1E1C" w14:textId="77777777" w:rsidR="00733283" w:rsidRDefault="00733283" w:rsidP="00716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DE"/>
    <w:rsid w:val="00473939"/>
    <w:rsid w:val="005D1017"/>
    <w:rsid w:val="00655926"/>
    <w:rsid w:val="0071646C"/>
    <w:rsid w:val="00733283"/>
    <w:rsid w:val="00882A69"/>
    <w:rsid w:val="00D059E7"/>
    <w:rsid w:val="00D35D48"/>
    <w:rsid w:val="00DA13DE"/>
    <w:rsid w:val="00F8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B8D6A"/>
  <w15:chartTrackingRefBased/>
  <w15:docId w15:val="{D1120405-8571-4F2C-832E-4288E57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gaobing</dc:creator>
  <cp:keywords/>
  <dc:description/>
  <cp:lastModifiedBy>gaobing</cp:lastModifiedBy>
  <cp:revision>5</cp:revision>
  <dcterms:created xsi:type="dcterms:W3CDTF">2026-05-09T01:00:00Z</dcterms:created>
  <dcterms:modified xsi:type="dcterms:W3CDTF">2026-05-09T01:19:00Z</dcterms:modified>
</cp:coreProperties>
</file>