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061E" w14:textId="77777777" w:rsidR="00991070" w:rsidRDefault="00991070" w:rsidP="00991070">
      <w:pPr>
        <w:spacing w:line="520" w:lineRule="exac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附件1</w:t>
      </w:r>
    </w:p>
    <w:p w14:paraId="1F9C8D7C" w14:textId="77777777" w:rsidR="00991070" w:rsidRDefault="00991070" w:rsidP="00991070">
      <w:pPr>
        <w:pStyle w:val="a3"/>
        <w:spacing w:before="0" w:beforeAutospacing="0" w:after="0" w:afterAutospacing="0"/>
        <w:ind w:firstLineChars="50" w:firstLine="161"/>
        <w:jc w:val="center"/>
        <w:rPr>
          <w:rFonts w:ascii="黑体" w:eastAsia="黑体" w:hAnsi="黑体" w:hint="default"/>
          <w:b/>
          <w:spacing w:val="-4"/>
          <w:sz w:val="36"/>
        </w:rPr>
      </w:pPr>
      <w:r>
        <w:rPr>
          <w:rFonts w:ascii="黑体" w:eastAsia="黑体" w:hAnsi="黑体"/>
          <w:b/>
          <w:sz w:val="32"/>
        </w:rPr>
        <w:t>水利院校德育教育优秀成果申报表</w:t>
      </w:r>
    </w:p>
    <w:tbl>
      <w:tblPr>
        <w:tblpPr w:leftFromText="180" w:rightFromText="180" w:vertAnchor="text" w:horzAnchor="margin" w:tblpX="-144" w:tblpY="10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21"/>
        <w:gridCol w:w="1276"/>
        <w:gridCol w:w="821"/>
        <w:gridCol w:w="738"/>
        <w:gridCol w:w="992"/>
        <w:gridCol w:w="1276"/>
        <w:gridCol w:w="1417"/>
      </w:tblGrid>
      <w:tr w:rsidR="00991070" w14:paraId="3E61216E" w14:textId="77777777" w:rsidTr="00BE40E3">
        <w:trPr>
          <w:cantSplit/>
          <w:trHeight w:val="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EC86C4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69A9B" w14:textId="77777777" w:rsidR="00362E70" w:rsidRDefault="00991070" w:rsidP="00362E70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hint="default"/>
                <w:kern w:val="2"/>
              </w:rPr>
            </w:pPr>
            <w:r w:rsidRPr="00534719">
              <w:rPr>
                <w:rFonts w:ascii="仿宋" w:eastAsia="仿宋" w:hAnsi="仿宋"/>
                <w:kern w:val="2"/>
              </w:rPr>
              <w:t>优化课程</w:t>
            </w:r>
            <w:proofErr w:type="gramStart"/>
            <w:r w:rsidRPr="00534719">
              <w:rPr>
                <w:rFonts w:ascii="仿宋" w:eastAsia="仿宋" w:hAnsi="仿宋"/>
                <w:kern w:val="2"/>
              </w:rPr>
              <w:t>思政内容</w:t>
            </w:r>
            <w:proofErr w:type="gramEnd"/>
            <w:r w:rsidRPr="00534719">
              <w:rPr>
                <w:rFonts w:ascii="仿宋" w:eastAsia="仿宋" w:hAnsi="仿宋"/>
                <w:kern w:val="2"/>
              </w:rPr>
              <w:t>供给，助力“三全育人”</w:t>
            </w:r>
          </w:p>
          <w:p w14:paraId="33FAFA4D" w14:textId="0945BDFF" w:rsidR="00991070" w:rsidRPr="00991070" w:rsidRDefault="00991070" w:rsidP="00362E70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34719">
              <w:rPr>
                <w:rFonts w:ascii="仿宋" w:eastAsia="仿宋" w:hAnsi="仿宋"/>
                <w:kern w:val="2"/>
              </w:rPr>
              <w:t>——《水资源开发利用与保护》</w:t>
            </w:r>
            <w:proofErr w:type="gramStart"/>
            <w:r w:rsidRPr="00534719">
              <w:rPr>
                <w:rFonts w:ascii="仿宋" w:eastAsia="仿宋" w:hAnsi="仿宋"/>
                <w:kern w:val="2"/>
              </w:rPr>
              <w:t>课程思政的</w:t>
            </w:r>
            <w:proofErr w:type="gramEnd"/>
            <w:r w:rsidRPr="00534719">
              <w:rPr>
                <w:rFonts w:ascii="仿宋" w:eastAsia="仿宋" w:hAnsi="仿宋"/>
                <w:kern w:val="2"/>
              </w:rPr>
              <w:t>探索与实践</w:t>
            </w:r>
          </w:p>
        </w:tc>
      </w:tr>
      <w:tr w:rsidR="00991070" w14:paraId="77987003" w14:textId="77777777" w:rsidTr="00776C75">
        <w:trPr>
          <w:cantSplit/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4C616A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1DAEE" w14:textId="61745B1E" w:rsidR="00991070" w:rsidRDefault="00991070" w:rsidP="00BE40E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中国地质大学（北京）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89183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31925" w14:textId="5896FB36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课程育人</w:t>
            </w:r>
          </w:p>
        </w:tc>
      </w:tr>
      <w:tr w:rsidR="00991070" w14:paraId="003125C2" w14:textId="77777777" w:rsidTr="00776C75">
        <w:trPr>
          <w:cantSplit/>
          <w:trHeight w:val="7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E1F8C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DD0C75" w14:textId="53E13AEB" w:rsidR="00991070" w:rsidRDefault="00534719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33D319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643D2" w14:textId="26790EF2" w:rsidR="00991070" w:rsidRDefault="00AC795B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3811538240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D48BAF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F7B7C" w14:textId="56CF14B5" w:rsidR="00991070" w:rsidRDefault="00534719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北京市海淀区学院路2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</w:tr>
      <w:tr w:rsidR="00991070" w14:paraId="3B7446F0" w14:textId="77777777" w:rsidTr="00BE40E3">
        <w:trPr>
          <w:trHeight w:val="4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2318E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成果介绍（300字</w:t>
            </w:r>
          </w:p>
          <w:p w14:paraId="35B409A0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以内）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E21CB6" w14:textId="0665AF3D" w:rsidR="00991070" w:rsidRDefault="00534719" w:rsidP="00AC795B">
            <w:pPr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proofErr w:type="gramStart"/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课程思政是是</w:t>
            </w:r>
            <w:proofErr w:type="gramEnd"/>
            <w:r w:rsidRPr="00C47531">
              <w:rPr>
                <w:rFonts w:ascii="仿宋" w:eastAsia="仿宋" w:hAnsi="仿宋" w:cs="宋体"/>
                <w:color w:val="000000"/>
                <w:sz w:val="24"/>
              </w:rPr>
              <w:t>落实立德树人根本任务的重要举措，也是完善</w:t>
            </w:r>
            <w:r w:rsidRPr="00C47531">
              <w:rPr>
                <w:rFonts w:ascii="仿宋" w:eastAsia="仿宋" w:hAnsi="仿宋" w:cs="宋体"/>
                <w:color w:val="000000"/>
              </w:rPr>
              <w:t xml:space="preserve"> 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“三全育人”的重要抓手。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国家各部门及中国地质大学（北京）出台的一系列政策和文件为</w:t>
            </w:r>
            <w:proofErr w:type="gramStart"/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课程思政的</w:t>
            </w:r>
            <w:proofErr w:type="gramEnd"/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建设和实施提供了良好的体制机制保障。在《水资源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开发利用与保护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》课程实践中，通过重构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知识、能力、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素养三位一体的课程目标，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充分挖掘蕴含在专业知识中的德育元素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细化专业知识点</w:t>
            </w:r>
            <w:proofErr w:type="gramStart"/>
            <w:r w:rsidRPr="00C47531">
              <w:rPr>
                <w:rFonts w:ascii="仿宋" w:eastAsia="仿宋" w:hAnsi="仿宋" w:cs="宋体"/>
                <w:color w:val="000000"/>
                <w:sz w:val="24"/>
              </w:rPr>
              <w:t>和思政元素</w:t>
            </w:r>
            <w:proofErr w:type="gramEnd"/>
            <w:r w:rsidRPr="00C47531">
              <w:rPr>
                <w:rFonts w:ascii="仿宋" w:eastAsia="仿宋" w:hAnsi="仿宋" w:cs="宋体"/>
                <w:color w:val="000000"/>
                <w:sz w:val="24"/>
              </w:rPr>
              <w:t>的融入点和融入方式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建立教学内容与</w:t>
            </w:r>
            <w:proofErr w:type="gramStart"/>
            <w:r w:rsidRPr="00C47531">
              <w:rPr>
                <w:rFonts w:ascii="仿宋" w:eastAsia="仿宋" w:hAnsi="仿宋" w:cs="宋体"/>
                <w:color w:val="000000"/>
                <w:sz w:val="24"/>
              </w:rPr>
              <w:t>课程思政的</w:t>
            </w:r>
            <w:proofErr w:type="gramEnd"/>
            <w:r w:rsidRPr="00C47531">
              <w:rPr>
                <w:rFonts w:ascii="仿宋" w:eastAsia="仿宋" w:hAnsi="仿宋" w:cs="宋体"/>
                <w:color w:val="000000"/>
                <w:sz w:val="24"/>
              </w:rPr>
              <w:t>融合体系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，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开展问题导向式、主题研讨式、案例式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等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教学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模式，从课程目标、课程内容以及教学模式等方面优化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课程</w:t>
            </w:r>
            <w:proofErr w:type="gramStart"/>
            <w:r w:rsidRPr="00C47531">
              <w:rPr>
                <w:rFonts w:ascii="仿宋" w:eastAsia="仿宋" w:hAnsi="仿宋" w:cs="宋体"/>
                <w:color w:val="000000"/>
                <w:sz w:val="24"/>
              </w:rPr>
              <w:t>思政内容</w:t>
            </w:r>
            <w:proofErr w:type="gramEnd"/>
            <w:r w:rsidRPr="00C47531">
              <w:rPr>
                <w:rFonts w:ascii="仿宋" w:eastAsia="仿宋" w:hAnsi="仿宋" w:cs="宋体"/>
                <w:color w:val="000000"/>
                <w:sz w:val="24"/>
              </w:rPr>
              <w:t>供给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，从而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实现价值引领、能力培养和知识传授的有机融合</w:t>
            </w:r>
            <w:r w:rsidRPr="00C47531">
              <w:rPr>
                <w:rFonts w:ascii="仿宋" w:eastAsia="仿宋" w:hAnsi="仿宋" w:cs="宋体" w:hint="eastAsia"/>
                <w:color w:val="000000"/>
                <w:sz w:val="24"/>
              </w:rPr>
              <w:t>，达到</w:t>
            </w:r>
            <w:r w:rsidRPr="00C47531">
              <w:rPr>
                <w:rFonts w:ascii="仿宋" w:eastAsia="仿宋" w:hAnsi="仿宋" w:cs="宋体"/>
                <w:color w:val="000000"/>
                <w:sz w:val="24"/>
              </w:rPr>
              <w:t>全方位协同育人的效果。</w:t>
            </w:r>
          </w:p>
        </w:tc>
      </w:tr>
      <w:tr w:rsidR="00991070" w14:paraId="40DEC099" w14:textId="77777777" w:rsidTr="00BE40E3">
        <w:trPr>
          <w:trHeight w:val="1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D23056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所在院校</w:t>
            </w:r>
          </w:p>
          <w:p w14:paraId="78955A8F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见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021F4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</w:p>
          <w:p w14:paraId="29E346D0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</w:p>
          <w:p w14:paraId="0F2063BF" w14:textId="77777777" w:rsidR="00991070" w:rsidRDefault="00991070" w:rsidP="00BD5313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 章</w:t>
            </w:r>
          </w:p>
          <w:p w14:paraId="689F431E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年   月   日</w:t>
            </w:r>
          </w:p>
        </w:tc>
      </w:tr>
      <w:tr w:rsidR="00991070" w14:paraId="1B993737" w14:textId="77777777" w:rsidTr="00776C75">
        <w:trPr>
          <w:trHeight w:val="21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F7A3C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评审意见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122AA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</w:p>
          <w:p w14:paraId="2EABCFEA" w14:textId="77777777" w:rsidR="00991070" w:rsidRDefault="00991070" w:rsidP="00BD5313">
            <w:pPr>
              <w:rPr>
                <w:rFonts w:ascii="仿宋" w:eastAsia="仿宋" w:hAnsi="仿宋"/>
                <w:sz w:val="24"/>
              </w:rPr>
            </w:pPr>
          </w:p>
          <w:p w14:paraId="10541D07" w14:textId="77777777" w:rsidR="00991070" w:rsidRDefault="00991070" w:rsidP="00BD5313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A40EE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中国水利教育</w:t>
            </w:r>
          </w:p>
          <w:p w14:paraId="06C9A476" w14:textId="77777777" w:rsidR="00991070" w:rsidRDefault="00991070" w:rsidP="00BD53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协会审核意见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B6E69D" w14:textId="77777777" w:rsidR="00991070" w:rsidRDefault="00991070" w:rsidP="00BD531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3B9BACE" w14:textId="77777777" w:rsidR="00991070" w:rsidRDefault="00991070" w:rsidP="00BD531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74012EF" w14:textId="77777777" w:rsidR="00991070" w:rsidRDefault="00991070" w:rsidP="00BD5313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 章</w:t>
            </w:r>
          </w:p>
          <w:p w14:paraId="40230C3C" w14:textId="77777777" w:rsidR="00991070" w:rsidRDefault="00991070" w:rsidP="00BD5313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5036BACA" w14:textId="7763F184" w:rsidR="00E646D2" w:rsidRPr="00991070" w:rsidRDefault="00991070" w:rsidP="00991070">
      <w:pPr>
        <w:pStyle w:val="a3"/>
        <w:spacing w:beforeLines="50" w:before="156" w:beforeAutospacing="0" w:after="0" w:afterAutospacing="0" w:line="440" w:lineRule="exact"/>
        <w:jc w:val="both"/>
      </w:pPr>
      <w:r>
        <w:rPr>
          <w:rFonts w:ascii="仿宋_GB2312" w:eastAsia="仿宋_GB2312"/>
          <w:kern w:val="2"/>
        </w:rPr>
        <w:t>注：请另提供5000字左右的文字材料.</w:t>
      </w:r>
    </w:p>
    <w:sectPr w:rsidR="00E646D2" w:rsidRPr="0099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70"/>
    <w:rsid w:val="00362E70"/>
    <w:rsid w:val="003B1BC0"/>
    <w:rsid w:val="00534719"/>
    <w:rsid w:val="00680211"/>
    <w:rsid w:val="006D5A78"/>
    <w:rsid w:val="00776C75"/>
    <w:rsid w:val="00991070"/>
    <w:rsid w:val="00AC795B"/>
    <w:rsid w:val="00BE40E3"/>
    <w:rsid w:val="00D87C8F"/>
    <w:rsid w:val="00DB26BC"/>
    <w:rsid w:val="00E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3E98"/>
  <w15:chartTrackingRefBased/>
  <w15:docId w15:val="{A0ED0364-3704-4E8F-9043-744A450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99107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9107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zhanling li</dc:creator>
  <cp:keywords/>
  <dc:description/>
  <cp:lastModifiedBy>zhanling li</cp:lastModifiedBy>
  <cp:revision>2</cp:revision>
  <dcterms:created xsi:type="dcterms:W3CDTF">2021-10-15T03:31:00Z</dcterms:created>
  <dcterms:modified xsi:type="dcterms:W3CDTF">2021-10-15T03:31:00Z</dcterms:modified>
</cp:coreProperties>
</file>